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39"/>
        <w:gridCol w:w="6865"/>
      </w:tblGrid>
      <w:tr w:rsidR="00913740" w:rsidRPr="00913740" w14:paraId="51DCC3E8" w14:textId="77777777">
        <w:tc>
          <w:tcPr>
            <w:tcW w:w="0" w:type="auto"/>
            <w:gridSpan w:val="2"/>
            <w:shd w:val="clear" w:color="auto" w:fill="FFFFFF"/>
            <w:tcMar>
              <w:top w:w="0" w:type="dxa"/>
              <w:left w:w="0" w:type="dxa"/>
              <w:bottom w:w="0" w:type="dxa"/>
              <w:right w:w="0" w:type="dxa"/>
            </w:tcMar>
            <w:vAlign w:val="center"/>
            <w:hideMark/>
          </w:tcPr>
          <w:p w14:paraId="5C2D532D" w14:textId="77777777" w:rsidR="00913740" w:rsidRPr="00913740" w:rsidRDefault="00913740" w:rsidP="00913740">
            <w:pPr>
              <w:rPr>
                <w:lang w:val="en-GB"/>
              </w:rPr>
            </w:pPr>
            <w:r w:rsidRPr="00913740">
              <w:rPr>
                <w:b/>
                <w:bCs/>
                <w:lang w:val="en-GB"/>
              </w:rPr>
              <w:t>Basic information on Personal Data Protection</w:t>
            </w:r>
          </w:p>
        </w:tc>
      </w:tr>
      <w:tr w:rsidR="00913740" w:rsidRPr="00913740" w14:paraId="4D7128AC" w14:textId="77777777">
        <w:tc>
          <w:tcPr>
            <w:tcW w:w="0" w:type="auto"/>
            <w:gridSpan w:val="2"/>
            <w:shd w:val="clear" w:color="auto" w:fill="FFFFFF"/>
            <w:tcMar>
              <w:top w:w="0" w:type="dxa"/>
              <w:left w:w="0" w:type="dxa"/>
              <w:bottom w:w="0" w:type="dxa"/>
              <w:right w:w="0" w:type="dxa"/>
            </w:tcMar>
            <w:vAlign w:val="center"/>
            <w:hideMark/>
          </w:tcPr>
          <w:p w14:paraId="1D547DF7" w14:textId="77777777" w:rsidR="00913740" w:rsidRPr="00913740" w:rsidRDefault="00913740" w:rsidP="008770F4">
            <w:pPr>
              <w:jc w:val="both"/>
              <w:rPr>
                <w:lang w:val="en-GB"/>
              </w:rPr>
            </w:pPr>
            <w:r w:rsidRPr="00913740">
              <w:rPr>
                <w:lang w:val="en-GB"/>
              </w:rPr>
              <w:t>In compliance with the General Personal Data Protection Regulation, the data subject is hereby informed of the following:</w:t>
            </w:r>
          </w:p>
        </w:tc>
      </w:tr>
      <w:tr w:rsidR="00913740" w:rsidRPr="00913740" w14:paraId="36EAAB8C" w14:textId="77777777">
        <w:tc>
          <w:tcPr>
            <w:tcW w:w="0" w:type="auto"/>
            <w:gridSpan w:val="2"/>
            <w:shd w:val="clear" w:color="auto" w:fill="FFFFFF"/>
            <w:tcMar>
              <w:top w:w="0" w:type="dxa"/>
              <w:left w:w="0" w:type="dxa"/>
              <w:bottom w:w="0" w:type="dxa"/>
              <w:right w:w="0" w:type="dxa"/>
            </w:tcMar>
            <w:vAlign w:val="center"/>
            <w:hideMark/>
          </w:tcPr>
          <w:p w14:paraId="09323451" w14:textId="77777777" w:rsidR="00913740" w:rsidRPr="00913740" w:rsidRDefault="00913740" w:rsidP="00913740">
            <w:pPr>
              <w:rPr>
                <w:lang w:val="en-GB"/>
              </w:rPr>
            </w:pPr>
            <w:r w:rsidRPr="00913740">
              <w:rPr>
                <w:lang w:val="en-GB"/>
              </w:rPr>
              <w:t> </w:t>
            </w:r>
          </w:p>
          <w:p w14:paraId="660DB521" w14:textId="77777777" w:rsidR="00913740" w:rsidRPr="00913740" w:rsidRDefault="00913740" w:rsidP="00913740">
            <w:pPr>
              <w:numPr>
                <w:ilvl w:val="0"/>
                <w:numId w:val="1"/>
              </w:numPr>
              <w:rPr>
                <w:lang w:val="es-ES"/>
              </w:rPr>
            </w:pPr>
            <w:r w:rsidRPr="00913740">
              <w:rPr>
                <w:b/>
                <w:bCs/>
                <w:lang w:val="es-ES"/>
              </w:rPr>
              <w:t>DATA CONTROLLER</w:t>
            </w:r>
          </w:p>
        </w:tc>
      </w:tr>
      <w:tr w:rsidR="00913740" w:rsidRPr="00913740" w14:paraId="71BC0EDF" w14:textId="77777777">
        <w:tc>
          <w:tcPr>
            <w:tcW w:w="0" w:type="auto"/>
            <w:shd w:val="clear" w:color="auto" w:fill="FFFFFF"/>
            <w:tcMar>
              <w:top w:w="0" w:type="dxa"/>
              <w:left w:w="0" w:type="dxa"/>
              <w:bottom w:w="0" w:type="dxa"/>
              <w:right w:w="0" w:type="dxa"/>
            </w:tcMar>
            <w:vAlign w:val="center"/>
            <w:hideMark/>
          </w:tcPr>
          <w:p w14:paraId="63C3FDA9" w14:textId="77777777" w:rsidR="00913740" w:rsidRPr="00913740" w:rsidRDefault="00913740" w:rsidP="00913740">
            <w:pPr>
              <w:rPr>
                <w:lang w:val="es-ES"/>
              </w:rPr>
            </w:pPr>
            <w:proofErr w:type="spellStart"/>
            <w:r w:rsidRPr="00913740">
              <w:rPr>
                <w:b/>
                <w:bCs/>
                <w:lang w:val="es-ES"/>
              </w:rPr>
              <w:t>Identity</w:t>
            </w:r>
            <w:proofErr w:type="spellEnd"/>
            <w:r w:rsidRPr="00913740">
              <w:rPr>
                <w:b/>
                <w:bCs/>
                <w:lang w:val="es-ES"/>
              </w:rPr>
              <w:t>:</w:t>
            </w:r>
          </w:p>
        </w:tc>
        <w:tc>
          <w:tcPr>
            <w:tcW w:w="0" w:type="auto"/>
            <w:shd w:val="clear" w:color="auto" w:fill="FFFFFF"/>
            <w:tcMar>
              <w:top w:w="0" w:type="dxa"/>
              <w:left w:w="0" w:type="dxa"/>
              <w:bottom w:w="0" w:type="dxa"/>
              <w:right w:w="0" w:type="dxa"/>
            </w:tcMar>
            <w:vAlign w:val="center"/>
            <w:hideMark/>
          </w:tcPr>
          <w:p w14:paraId="70E73A7F" w14:textId="77777777" w:rsidR="00913740" w:rsidRPr="00913740" w:rsidRDefault="00913740" w:rsidP="00913740">
            <w:pPr>
              <w:rPr>
                <w:lang w:val="en-GB"/>
              </w:rPr>
            </w:pPr>
            <w:r w:rsidRPr="00913740">
              <w:rPr>
                <w:lang w:val="en-GB"/>
              </w:rPr>
              <w:t xml:space="preserve">ICE MOUNTAIN IBIZA </w:t>
            </w:r>
            <w:proofErr w:type="gramStart"/>
            <w:r w:rsidRPr="00913740">
              <w:rPr>
                <w:lang w:val="en-GB"/>
              </w:rPr>
              <w:t>S.L</w:t>
            </w:r>
            <w:proofErr w:type="gramEnd"/>
          </w:p>
        </w:tc>
      </w:tr>
      <w:tr w:rsidR="00913740" w:rsidRPr="00913740" w14:paraId="31167BEE" w14:textId="77777777">
        <w:tc>
          <w:tcPr>
            <w:tcW w:w="0" w:type="auto"/>
            <w:shd w:val="clear" w:color="auto" w:fill="FFFFFF"/>
            <w:tcMar>
              <w:top w:w="0" w:type="dxa"/>
              <w:left w:w="0" w:type="dxa"/>
              <w:bottom w:w="0" w:type="dxa"/>
              <w:right w:w="0" w:type="dxa"/>
            </w:tcMar>
            <w:vAlign w:val="center"/>
            <w:hideMark/>
          </w:tcPr>
          <w:p w14:paraId="56938137" w14:textId="77777777" w:rsidR="00913740" w:rsidRPr="00913740" w:rsidRDefault="00913740" w:rsidP="00913740">
            <w:pPr>
              <w:rPr>
                <w:lang w:val="es-ES"/>
              </w:rPr>
            </w:pPr>
            <w:r w:rsidRPr="00913740">
              <w:rPr>
                <w:b/>
                <w:bCs/>
                <w:lang w:val="es-ES"/>
              </w:rPr>
              <w:t xml:space="preserve">Postal </w:t>
            </w:r>
            <w:proofErr w:type="spellStart"/>
            <w:r w:rsidRPr="00913740">
              <w:rPr>
                <w:b/>
                <w:bCs/>
                <w:lang w:val="es-ES"/>
              </w:rPr>
              <w:t>address</w:t>
            </w:r>
            <w:proofErr w:type="spellEnd"/>
            <w:r w:rsidRPr="00913740">
              <w:rPr>
                <w:b/>
                <w:bCs/>
                <w:lang w:val="es-ES"/>
              </w:rPr>
              <w:t>:</w:t>
            </w:r>
          </w:p>
        </w:tc>
        <w:tc>
          <w:tcPr>
            <w:tcW w:w="0" w:type="auto"/>
            <w:shd w:val="clear" w:color="auto" w:fill="FFFFFF"/>
            <w:tcMar>
              <w:top w:w="0" w:type="dxa"/>
              <w:left w:w="0" w:type="dxa"/>
              <w:bottom w:w="0" w:type="dxa"/>
              <w:right w:w="0" w:type="dxa"/>
            </w:tcMar>
            <w:vAlign w:val="center"/>
            <w:hideMark/>
          </w:tcPr>
          <w:p w14:paraId="73D0ECB9" w14:textId="77777777" w:rsidR="00913740" w:rsidRPr="00913740" w:rsidRDefault="00913740" w:rsidP="00913740">
            <w:pPr>
              <w:rPr>
                <w:lang w:val="es-ES"/>
              </w:rPr>
            </w:pPr>
            <w:r w:rsidRPr="00913740">
              <w:rPr>
                <w:lang w:val="es-ES"/>
              </w:rPr>
              <w:t xml:space="preserve">Camí </w:t>
            </w:r>
            <w:proofErr w:type="gramStart"/>
            <w:r w:rsidRPr="00913740">
              <w:rPr>
                <w:lang w:val="es-ES"/>
              </w:rPr>
              <w:t>des Molí</w:t>
            </w:r>
            <w:proofErr w:type="gramEnd"/>
            <w:r w:rsidRPr="00913740">
              <w:rPr>
                <w:lang w:val="es-ES"/>
              </w:rPr>
              <w:t>, 12-14, 07820, Sant Antoni de Portmany, Baleares, ES</w:t>
            </w:r>
          </w:p>
        </w:tc>
      </w:tr>
      <w:tr w:rsidR="00913740" w:rsidRPr="00913740" w14:paraId="045EA414" w14:textId="77777777">
        <w:tc>
          <w:tcPr>
            <w:tcW w:w="0" w:type="auto"/>
            <w:shd w:val="clear" w:color="auto" w:fill="FFFFFF"/>
            <w:tcMar>
              <w:top w:w="0" w:type="dxa"/>
              <w:left w:w="0" w:type="dxa"/>
              <w:bottom w:w="0" w:type="dxa"/>
              <w:right w:w="0" w:type="dxa"/>
            </w:tcMar>
            <w:vAlign w:val="center"/>
            <w:hideMark/>
          </w:tcPr>
          <w:p w14:paraId="469D23B7" w14:textId="77777777" w:rsidR="00913740" w:rsidRPr="00913740" w:rsidRDefault="00913740" w:rsidP="00913740">
            <w:pPr>
              <w:rPr>
                <w:lang w:val="es-ES"/>
              </w:rPr>
            </w:pPr>
            <w:r w:rsidRPr="00913740">
              <w:rPr>
                <w:b/>
                <w:bCs/>
                <w:lang w:val="es-ES"/>
              </w:rPr>
              <w:t>CIF:</w:t>
            </w:r>
          </w:p>
        </w:tc>
        <w:tc>
          <w:tcPr>
            <w:tcW w:w="0" w:type="auto"/>
            <w:shd w:val="clear" w:color="auto" w:fill="FFFFFF"/>
            <w:tcMar>
              <w:top w:w="0" w:type="dxa"/>
              <w:left w:w="0" w:type="dxa"/>
              <w:bottom w:w="0" w:type="dxa"/>
              <w:right w:w="0" w:type="dxa"/>
            </w:tcMar>
            <w:vAlign w:val="center"/>
            <w:hideMark/>
          </w:tcPr>
          <w:p w14:paraId="156FFD8C" w14:textId="77777777" w:rsidR="00913740" w:rsidRPr="00913740" w:rsidRDefault="00913740" w:rsidP="00913740">
            <w:pPr>
              <w:rPr>
                <w:lang w:val="es-ES"/>
              </w:rPr>
            </w:pPr>
            <w:r w:rsidRPr="00913740">
              <w:rPr>
                <w:lang w:val="es-ES"/>
              </w:rPr>
              <w:t>B57704124</w:t>
            </w:r>
          </w:p>
        </w:tc>
      </w:tr>
      <w:tr w:rsidR="00913740" w:rsidRPr="00913740" w14:paraId="46D0A2C0" w14:textId="77777777">
        <w:tc>
          <w:tcPr>
            <w:tcW w:w="0" w:type="auto"/>
            <w:shd w:val="clear" w:color="auto" w:fill="FFFFFF"/>
            <w:tcMar>
              <w:top w:w="0" w:type="dxa"/>
              <w:left w:w="0" w:type="dxa"/>
              <w:bottom w:w="0" w:type="dxa"/>
              <w:right w:w="0" w:type="dxa"/>
            </w:tcMar>
            <w:vAlign w:val="center"/>
            <w:hideMark/>
          </w:tcPr>
          <w:p w14:paraId="3DC939EE" w14:textId="77777777" w:rsidR="00913740" w:rsidRPr="00913740" w:rsidRDefault="00913740" w:rsidP="00913740">
            <w:pPr>
              <w:rPr>
                <w:lang w:val="es-ES"/>
              </w:rPr>
            </w:pPr>
            <w:r w:rsidRPr="00913740">
              <w:rPr>
                <w:b/>
                <w:bCs/>
                <w:lang w:val="es-ES"/>
              </w:rPr>
              <w:t>Email:</w:t>
            </w:r>
          </w:p>
        </w:tc>
        <w:tc>
          <w:tcPr>
            <w:tcW w:w="0" w:type="auto"/>
            <w:shd w:val="clear" w:color="auto" w:fill="FFFFFF"/>
            <w:tcMar>
              <w:top w:w="0" w:type="dxa"/>
              <w:left w:w="0" w:type="dxa"/>
              <w:bottom w:w="0" w:type="dxa"/>
              <w:right w:w="0" w:type="dxa"/>
            </w:tcMar>
            <w:vAlign w:val="center"/>
            <w:hideMark/>
          </w:tcPr>
          <w:p w14:paraId="6BC02ECF" w14:textId="075369BA" w:rsidR="00913740" w:rsidRPr="00913740" w:rsidRDefault="00CD0114" w:rsidP="00913740">
            <w:pPr>
              <w:rPr>
                <w:lang w:val="es-ES"/>
              </w:rPr>
            </w:pPr>
            <w:proofErr w:type="spellStart"/>
            <w:r>
              <w:t>invoices</w:t>
            </w:r>
            <w:proofErr w:type="spellEnd"/>
            <w:r w:rsidR="00913740" w:rsidRPr="00913740">
              <w:rPr>
                <w:lang w:val="es-ES"/>
              </w:rPr>
              <w:t>@obeachibiza.com</w:t>
            </w:r>
          </w:p>
        </w:tc>
      </w:tr>
      <w:tr w:rsidR="00913740" w:rsidRPr="00913740" w14:paraId="34081DAF" w14:textId="77777777">
        <w:tc>
          <w:tcPr>
            <w:tcW w:w="0" w:type="auto"/>
            <w:shd w:val="clear" w:color="auto" w:fill="FFFFFF"/>
            <w:tcMar>
              <w:top w:w="0" w:type="dxa"/>
              <w:left w:w="0" w:type="dxa"/>
              <w:bottom w:w="0" w:type="dxa"/>
              <w:right w:w="0" w:type="dxa"/>
            </w:tcMar>
            <w:vAlign w:val="center"/>
            <w:hideMark/>
          </w:tcPr>
          <w:p w14:paraId="4D007ACA" w14:textId="77777777" w:rsidR="00913740" w:rsidRPr="00913740" w:rsidRDefault="00913740" w:rsidP="00913740">
            <w:pPr>
              <w:rPr>
                <w:lang w:val="es-ES"/>
              </w:rPr>
            </w:pPr>
            <w:proofErr w:type="spellStart"/>
            <w:r w:rsidRPr="00913740">
              <w:rPr>
                <w:b/>
                <w:bCs/>
                <w:lang w:val="es-ES"/>
              </w:rPr>
              <w:t>Website</w:t>
            </w:r>
            <w:proofErr w:type="spellEnd"/>
            <w:r w:rsidRPr="00913740">
              <w:rPr>
                <w:b/>
                <w:bCs/>
                <w:lang w:val="es-ES"/>
              </w:rPr>
              <w:t>:</w:t>
            </w:r>
          </w:p>
        </w:tc>
        <w:tc>
          <w:tcPr>
            <w:tcW w:w="0" w:type="auto"/>
            <w:shd w:val="clear" w:color="auto" w:fill="FFFFFF"/>
            <w:tcMar>
              <w:top w:w="0" w:type="dxa"/>
              <w:left w:w="0" w:type="dxa"/>
              <w:bottom w:w="0" w:type="dxa"/>
              <w:right w:w="0" w:type="dxa"/>
            </w:tcMar>
            <w:vAlign w:val="center"/>
            <w:hideMark/>
          </w:tcPr>
          <w:p w14:paraId="26736576" w14:textId="03B879D5" w:rsidR="00913740" w:rsidRPr="00913740" w:rsidRDefault="00CD0114" w:rsidP="00913740">
            <w:pPr>
              <w:rPr>
                <w:lang w:val="es-ES"/>
              </w:rPr>
            </w:pPr>
            <w:r w:rsidRPr="00CD0114">
              <w:rPr>
                <w:lang w:val="es-ES"/>
              </w:rPr>
              <w:t>https://obeachibiza.com/</w:t>
            </w:r>
          </w:p>
        </w:tc>
      </w:tr>
    </w:tbl>
    <w:p w14:paraId="366796CB" w14:textId="77777777" w:rsidR="00913740" w:rsidRPr="00913740" w:rsidRDefault="00913740" w:rsidP="00913740">
      <w:pPr>
        <w:rPr>
          <w:lang w:val="es-ES"/>
        </w:rPr>
      </w:pPr>
      <w:r w:rsidRPr="00913740">
        <w:rPr>
          <w:lang w:val="es-ES"/>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504"/>
      </w:tblGrid>
      <w:tr w:rsidR="00913740" w:rsidRPr="00913740" w14:paraId="6E614330" w14:textId="77777777">
        <w:tc>
          <w:tcPr>
            <w:tcW w:w="0" w:type="auto"/>
            <w:shd w:val="clear" w:color="auto" w:fill="FFFFFF"/>
            <w:tcMar>
              <w:top w:w="0" w:type="dxa"/>
              <w:left w:w="0" w:type="dxa"/>
              <w:bottom w:w="0" w:type="dxa"/>
              <w:right w:w="0" w:type="dxa"/>
            </w:tcMar>
            <w:vAlign w:val="center"/>
            <w:hideMark/>
          </w:tcPr>
          <w:p w14:paraId="3F10C9E1" w14:textId="77777777" w:rsidR="00913740" w:rsidRPr="00913740" w:rsidRDefault="00913740" w:rsidP="00913740">
            <w:pPr>
              <w:numPr>
                <w:ilvl w:val="0"/>
                <w:numId w:val="2"/>
              </w:numPr>
              <w:rPr>
                <w:lang w:val="es-ES"/>
              </w:rPr>
            </w:pPr>
            <w:r w:rsidRPr="00913740">
              <w:rPr>
                <w:b/>
                <w:bCs/>
                <w:lang w:val="es-ES"/>
              </w:rPr>
              <w:t>PURPOSE OF PROCESSING</w:t>
            </w:r>
          </w:p>
          <w:p w14:paraId="3CDBF39D" w14:textId="5F9A316A" w:rsidR="00913740" w:rsidRDefault="00913740" w:rsidP="00913740">
            <w:pPr>
              <w:jc w:val="both"/>
              <w:rPr>
                <w:lang w:val="en-GB"/>
              </w:rPr>
            </w:pPr>
            <w:r w:rsidRPr="00913740">
              <w:rPr>
                <w:lang w:val="en-GB"/>
              </w:rPr>
              <w:t>The primary purpose of collecting and processing your personal data, including your name,</w:t>
            </w:r>
            <w:r w:rsidR="008770F4">
              <w:rPr>
                <w:lang w:val="en-GB"/>
              </w:rPr>
              <w:t xml:space="preserve"> national or tax identification number,</w:t>
            </w:r>
            <w:r w:rsidRPr="00913740">
              <w:rPr>
                <w:lang w:val="en-GB"/>
              </w:rPr>
              <w:t xml:space="preserve"> email address, billing address, and details pertaining to your reservation or ticket, is to facilitate and </w:t>
            </w:r>
            <w:r w:rsidR="008770F4" w:rsidRPr="00913740">
              <w:rPr>
                <w:lang w:val="en-GB"/>
              </w:rPr>
              <w:t>fulfil</w:t>
            </w:r>
            <w:r w:rsidRPr="00913740">
              <w:rPr>
                <w:lang w:val="en-GB"/>
              </w:rPr>
              <w:t xml:space="preserve"> your request for an invoice related to the services you have contracted with us. This processing is necessary for the performance of a contract to which you are a party and to comply with our legal obligations, particularly those related to tax and accounting regulations.</w:t>
            </w:r>
          </w:p>
          <w:p w14:paraId="44689A77" w14:textId="78710174" w:rsidR="00913740" w:rsidRPr="00913740" w:rsidRDefault="00913740" w:rsidP="00913740">
            <w:pPr>
              <w:jc w:val="both"/>
              <w:rPr>
                <w:lang w:val="en-GB"/>
              </w:rPr>
            </w:pPr>
            <w:r w:rsidRPr="00913740">
              <w:rPr>
                <w:lang w:val="en-GB"/>
              </w:rPr>
              <w:t xml:space="preserve">The personal data provided will be kept for </w:t>
            </w:r>
            <w:r w:rsidR="00CD0114">
              <w:rPr>
                <w:lang w:val="en-GB"/>
              </w:rPr>
              <w:t xml:space="preserve">a period of four (4) years from the date of the invoice </w:t>
            </w:r>
            <w:r w:rsidRPr="00913740">
              <w:rPr>
                <w:lang w:val="en-GB"/>
              </w:rPr>
              <w:t>that is strictly necessary</w:t>
            </w:r>
            <w:r w:rsidR="008770F4">
              <w:rPr>
                <w:lang w:val="en-GB"/>
              </w:rPr>
              <w:t xml:space="preserve"> for our company legal liabilities compliance</w:t>
            </w:r>
            <w:r w:rsidRPr="00913740">
              <w:rPr>
                <w:lang w:val="en-GB"/>
              </w:rPr>
              <w:t xml:space="preserve">, </w:t>
            </w:r>
            <w:r w:rsidR="008770F4" w:rsidRPr="00913740">
              <w:rPr>
                <w:lang w:val="en-GB"/>
              </w:rPr>
              <w:t>if</w:t>
            </w:r>
            <w:r w:rsidRPr="00913740">
              <w:rPr>
                <w:lang w:val="en-GB"/>
              </w:rPr>
              <w:t xml:space="preserve"> the deletion of the same is not requested, or until they no longer meet the purpose for which they were collected.</w:t>
            </w:r>
          </w:p>
          <w:p w14:paraId="7BFA8E90" w14:textId="77777777" w:rsidR="00913740" w:rsidRPr="00913740" w:rsidRDefault="00913740" w:rsidP="00913740">
            <w:pPr>
              <w:rPr>
                <w:lang w:val="en-GB"/>
              </w:rPr>
            </w:pPr>
            <w:r w:rsidRPr="00913740">
              <w:rPr>
                <w:lang w:val="en-GB"/>
              </w:rPr>
              <w:t> </w:t>
            </w:r>
          </w:p>
          <w:p w14:paraId="563C1828" w14:textId="77777777" w:rsidR="00913740" w:rsidRPr="00913740" w:rsidRDefault="00913740" w:rsidP="00913740">
            <w:pPr>
              <w:numPr>
                <w:ilvl w:val="0"/>
                <w:numId w:val="3"/>
              </w:numPr>
              <w:rPr>
                <w:lang w:val="es-ES"/>
              </w:rPr>
            </w:pPr>
            <w:r w:rsidRPr="00913740">
              <w:rPr>
                <w:b/>
                <w:bCs/>
                <w:lang w:val="es-ES"/>
              </w:rPr>
              <w:t>LEGITIMATION</w:t>
            </w:r>
          </w:p>
          <w:p w14:paraId="5A779B75" w14:textId="77777777" w:rsidR="00913740" w:rsidRPr="00913740" w:rsidRDefault="00913740" w:rsidP="00913740">
            <w:pPr>
              <w:rPr>
                <w:lang w:val="en-GB"/>
              </w:rPr>
            </w:pPr>
            <w:r w:rsidRPr="00913740">
              <w:rPr>
                <w:lang w:val="en-GB"/>
              </w:rPr>
              <w:t>The legal basis on which the data processing is based is as follows:</w:t>
            </w:r>
          </w:p>
          <w:p w14:paraId="3993CB0B" w14:textId="77777777" w:rsidR="00913740" w:rsidRPr="00913740" w:rsidRDefault="00913740" w:rsidP="00913740">
            <w:pPr>
              <w:numPr>
                <w:ilvl w:val="0"/>
                <w:numId w:val="4"/>
              </w:numPr>
              <w:rPr>
                <w:lang w:val="en-GB"/>
              </w:rPr>
            </w:pPr>
            <w:r w:rsidRPr="00913740">
              <w:rPr>
                <w:lang w:val="en-GB"/>
              </w:rPr>
              <w:t>Unequivocal and express consent of our customers to receive the service provided.</w:t>
            </w:r>
          </w:p>
          <w:p w14:paraId="75E14247" w14:textId="77777777" w:rsidR="00913740" w:rsidRPr="00913740" w:rsidRDefault="00913740" w:rsidP="00913740">
            <w:pPr>
              <w:numPr>
                <w:ilvl w:val="0"/>
                <w:numId w:val="4"/>
              </w:numPr>
              <w:rPr>
                <w:lang w:val="en-GB"/>
              </w:rPr>
            </w:pPr>
            <w:r w:rsidRPr="00913740">
              <w:rPr>
                <w:lang w:val="en-GB"/>
              </w:rPr>
              <w:t>Execution of a contract or pre-contractual measures.</w:t>
            </w:r>
          </w:p>
          <w:p w14:paraId="5DB8A377" w14:textId="77777777" w:rsidR="00913740" w:rsidRPr="00913740" w:rsidRDefault="00913740" w:rsidP="00913740">
            <w:pPr>
              <w:numPr>
                <w:ilvl w:val="0"/>
                <w:numId w:val="4"/>
              </w:numPr>
              <w:rPr>
                <w:lang w:val="es-ES"/>
              </w:rPr>
            </w:pPr>
            <w:proofErr w:type="spellStart"/>
            <w:r w:rsidRPr="00913740">
              <w:rPr>
                <w:lang w:val="es-ES"/>
              </w:rPr>
              <w:t>Legitimate</w:t>
            </w:r>
            <w:proofErr w:type="spellEnd"/>
            <w:r w:rsidRPr="00913740">
              <w:rPr>
                <w:lang w:val="es-ES"/>
              </w:rPr>
              <w:t xml:space="preserve"> </w:t>
            </w:r>
            <w:proofErr w:type="spellStart"/>
            <w:r w:rsidRPr="00913740">
              <w:rPr>
                <w:lang w:val="es-ES"/>
              </w:rPr>
              <w:t>interest</w:t>
            </w:r>
            <w:proofErr w:type="spellEnd"/>
            <w:r w:rsidRPr="00913740">
              <w:rPr>
                <w:lang w:val="es-ES"/>
              </w:rPr>
              <w:t>.</w:t>
            </w:r>
          </w:p>
          <w:p w14:paraId="0F63E7DF" w14:textId="77777777" w:rsidR="00913740" w:rsidRPr="00913740" w:rsidRDefault="00913740" w:rsidP="00913740">
            <w:pPr>
              <w:numPr>
                <w:ilvl w:val="0"/>
                <w:numId w:val="4"/>
              </w:numPr>
              <w:rPr>
                <w:lang w:val="en-GB"/>
              </w:rPr>
            </w:pPr>
            <w:r w:rsidRPr="00913740">
              <w:rPr>
                <w:lang w:val="en-GB"/>
              </w:rPr>
              <w:t>Follow-up of legal obligations.</w:t>
            </w:r>
          </w:p>
          <w:p w14:paraId="06C30F1C" w14:textId="77777777" w:rsidR="00913740" w:rsidRPr="00913740" w:rsidRDefault="00913740" w:rsidP="00913740">
            <w:pPr>
              <w:rPr>
                <w:lang w:val="en-GB"/>
              </w:rPr>
            </w:pPr>
            <w:r w:rsidRPr="00913740">
              <w:rPr>
                <w:b/>
                <w:bCs/>
                <w:lang w:val="en-GB"/>
              </w:rPr>
              <w:t> </w:t>
            </w:r>
          </w:p>
          <w:p w14:paraId="04276863" w14:textId="77777777" w:rsidR="00913740" w:rsidRPr="00913740" w:rsidRDefault="00913740" w:rsidP="00913740">
            <w:pPr>
              <w:numPr>
                <w:ilvl w:val="0"/>
                <w:numId w:val="5"/>
              </w:numPr>
              <w:rPr>
                <w:lang w:val="es-ES"/>
              </w:rPr>
            </w:pPr>
            <w:r w:rsidRPr="00913740">
              <w:rPr>
                <w:b/>
                <w:bCs/>
                <w:lang w:val="es-ES"/>
              </w:rPr>
              <w:t>TARGET</w:t>
            </w:r>
          </w:p>
          <w:p w14:paraId="359F7180" w14:textId="48430DB2" w:rsidR="00913740" w:rsidRPr="00913740" w:rsidRDefault="00266EA6" w:rsidP="00266EA6">
            <w:pPr>
              <w:jc w:val="both"/>
              <w:rPr>
                <w:lang w:val="en-GB"/>
              </w:rPr>
            </w:pPr>
            <w:r w:rsidRPr="00266EA6">
              <w:rPr>
                <w:lang w:val="en-GB"/>
              </w:rPr>
              <w:t xml:space="preserve">Your data may be shared with internal departments responsible for billing and customer service, as well as with third-party service providers who assist us in our operations (e.g., IT support, accounting software providers), and with competent public authorities (e.g., tax authorities) when legally required. </w:t>
            </w:r>
          </w:p>
          <w:p w14:paraId="40D203A8" w14:textId="77777777" w:rsidR="00913740" w:rsidRPr="00913740" w:rsidRDefault="00913740" w:rsidP="00913740">
            <w:pPr>
              <w:numPr>
                <w:ilvl w:val="0"/>
                <w:numId w:val="6"/>
              </w:numPr>
              <w:rPr>
                <w:lang w:val="es-ES"/>
              </w:rPr>
            </w:pPr>
            <w:r w:rsidRPr="00913740">
              <w:rPr>
                <w:b/>
                <w:bCs/>
                <w:lang w:val="es-ES"/>
              </w:rPr>
              <w:lastRenderedPageBreak/>
              <w:t>RIGHTS</w:t>
            </w:r>
          </w:p>
          <w:p w14:paraId="53E31ACC" w14:textId="77777777" w:rsidR="00913740" w:rsidRPr="00913740" w:rsidRDefault="00913740" w:rsidP="00913740">
            <w:pPr>
              <w:rPr>
                <w:lang w:val="en-GB"/>
              </w:rPr>
            </w:pPr>
            <w:r w:rsidRPr="00913740">
              <w:rPr>
                <w:lang w:val="en-GB"/>
              </w:rPr>
              <w:t>You are entitled to the following rights under the RGPD:</w:t>
            </w:r>
          </w:p>
          <w:p w14:paraId="4A87EAFC" w14:textId="77777777" w:rsidR="00913740" w:rsidRPr="00913740" w:rsidRDefault="00913740" w:rsidP="00913740">
            <w:pPr>
              <w:numPr>
                <w:ilvl w:val="0"/>
                <w:numId w:val="7"/>
              </w:numPr>
              <w:rPr>
                <w:lang w:val="en-GB"/>
              </w:rPr>
            </w:pPr>
            <w:r w:rsidRPr="00913740">
              <w:rPr>
                <w:b/>
                <w:bCs/>
                <w:lang w:val="en-GB"/>
              </w:rPr>
              <w:t>Right to request access to personal data, </w:t>
            </w:r>
            <w:r w:rsidRPr="00913740">
              <w:rPr>
                <w:lang w:val="en-GB"/>
              </w:rPr>
              <w:t>you may request information from the person responsible for a file on whether your personal data is being processed.</w:t>
            </w:r>
          </w:p>
          <w:p w14:paraId="5B4EAE72" w14:textId="77777777" w:rsidR="00913740" w:rsidRPr="00913740" w:rsidRDefault="00913740" w:rsidP="00913740">
            <w:pPr>
              <w:numPr>
                <w:ilvl w:val="0"/>
                <w:numId w:val="7"/>
              </w:numPr>
              <w:rPr>
                <w:lang w:val="en-GB"/>
              </w:rPr>
            </w:pPr>
            <w:r w:rsidRPr="00913740">
              <w:rPr>
                <w:b/>
                <w:bCs/>
                <w:lang w:val="en-GB"/>
              </w:rPr>
              <w:t>Right to request rectification </w:t>
            </w:r>
            <w:r w:rsidRPr="00913740">
              <w:rPr>
                <w:lang w:val="en-GB"/>
              </w:rPr>
              <w:t>allows you to request the modification of data that are inaccurate or incomplete.</w:t>
            </w:r>
          </w:p>
          <w:p w14:paraId="748730A4" w14:textId="77777777" w:rsidR="00913740" w:rsidRPr="00913740" w:rsidRDefault="00913740" w:rsidP="00913740">
            <w:pPr>
              <w:numPr>
                <w:ilvl w:val="0"/>
                <w:numId w:val="7"/>
              </w:numPr>
              <w:rPr>
                <w:lang w:val="en-GB"/>
              </w:rPr>
            </w:pPr>
            <w:r w:rsidRPr="00913740">
              <w:rPr>
                <w:b/>
                <w:bCs/>
                <w:lang w:val="en-GB"/>
              </w:rPr>
              <w:t>The right to object to the processing, </w:t>
            </w:r>
            <w:r w:rsidRPr="00913740">
              <w:rPr>
                <w:lang w:val="en-GB"/>
              </w:rPr>
              <w:t>allows you to request that the data cease to be processed under the legally established requirements.</w:t>
            </w:r>
          </w:p>
          <w:p w14:paraId="0161ECA2" w14:textId="77777777" w:rsidR="00913740" w:rsidRPr="00913740" w:rsidRDefault="00913740" w:rsidP="00913740">
            <w:pPr>
              <w:numPr>
                <w:ilvl w:val="0"/>
                <w:numId w:val="7"/>
              </w:numPr>
              <w:rPr>
                <w:lang w:val="en-GB"/>
              </w:rPr>
            </w:pPr>
            <w:r w:rsidRPr="00913740">
              <w:rPr>
                <w:b/>
                <w:bCs/>
                <w:lang w:val="en-GB"/>
              </w:rPr>
              <w:t>Right to request its deletion: </w:t>
            </w:r>
            <w:r w:rsidRPr="00913740">
              <w:rPr>
                <w:lang w:val="en-GB"/>
              </w:rPr>
              <w:t>to revoke the consent given and request the deletion of personal data.</w:t>
            </w:r>
          </w:p>
          <w:p w14:paraId="24BFA971" w14:textId="77777777" w:rsidR="00913740" w:rsidRPr="00913740" w:rsidRDefault="00913740" w:rsidP="00913740">
            <w:pPr>
              <w:numPr>
                <w:ilvl w:val="0"/>
                <w:numId w:val="7"/>
              </w:numPr>
              <w:rPr>
                <w:lang w:val="en-GB"/>
              </w:rPr>
            </w:pPr>
            <w:r w:rsidRPr="00913740">
              <w:rPr>
                <w:b/>
                <w:bCs/>
                <w:lang w:val="en-GB"/>
              </w:rPr>
              <w:t>Right to limitation of processing: </w:t>
            </w:r>
            <w:r w:rsidRPr="00913740">
              <w:rPr>
                <w:lang w:val="en-GB"/>
              </w:rPr>
              <w:t>the right to demand that measures be applied to such data in order, among other things, to prevent their modification or, where appropriate, their erasure or deletion.</w:t>
            </w:r>
          </w:p>
          <w:p w14:paraId="67D41C6E" w14:textId="77777777" w:rsidR="00913740" w:rsidRPr="00913740" w:rsidRDefault="00913740" w:rsidP="00913740">
            <w:pPr>
              <w:numPr>
                <w:ilvl w:val="0"/>
                <w:numId w:val="7"/>
              </w:numPr>
              <w:rPr>
                <w:lang w:val="en-GB"/>
              </w:rPr>
            </w:pPr>
            <w:r w:rsidRPr="00913740">
              <w:rPr>
                <w:b/>
                <w:bCs/>
                <w:lang w:val="en-GB"/>
              </w:rPr>
              <w:t>Right to data portability: </w:t>
            </w:r>
            <w:r w:rsidRPr="00913740">
              <w:rPr>
                <w:lang w:val="en-GB"/>
              </w:rPr>
              <w:t>o request that the information be provided in a structured and clear format to another Data Controller.</w:t>
            </w:r>
          </w:p>
          <w:p w14:paraId="4F539F22" w14:textId="77777777" w:rsidR="00913740" w:rsidRPr="00913740" w:rsidRDefault="00913740" w:rsidP="00913740">
            <w:pPr>
              <w:rPr>
                <w:lang w:val="en-GB"/>
              </w:rPr>
            </w:pPr>
            <w:r w:rsidRPr="00913740">
              <w:rPr>
                <w:b/>
                <w:bCs/>
                <w:lang w:val="en-GB"/>
              </w:rPr>
              <w:t>How to exercise these rights?</w:t>
            </w:r>
          </w:p>
          <w:p w14:paraId="560CC48D" w14:textId="77777777" w:rsidR="00913740" w:rsidRPr="00913740" w:rsidRDefault="00913740" w:rsidP="00913740">
            <w:pPr>
              <w:rPr>
                <w:lang w:val="en-GB"/>
              </w:rPr>
            </w:pPr>
            <w:r w:rsidRPr="00913740">
              <w:rPr>
                <w:lang w:val="en-GB"/>
              </w:rPr>
              <w:t xml:space="preserve">- By writing to </w:t>
            </w:r>
            <w:proofErr w:type="spellStart"/>
            <w:r w:rsidRPr="00913740">
              <w:rPr>
                <w:lang w:val="en-GB"/>
              </w:rPr>
              <w:t>Camí</w:t>
            </w:r>
            <w:proofErr w:type="spellEnd"/>
            <w:r w:rsidRPr="00913740">
              <w:rPr>
                <w:lang w:val="en-GB"/>
              </w:rPr>
              <w:t xml:space="preserve"> des </w:t>
            </w:r>
            <w:proofErr w:type="spellStart"/>
            <w:r w:rsidRPr="00913740">
              <w:rPr>
                <w:lang w:val="en-GB"/>
              </w:rPr>
              <w:t>Molí</w:t>
            </w:r>
            <w:proofErr w:type="spellEnd"/>
            <w:r w:rsidRPr="00913740">
              <w:rPr>
                <w:lang w:val="en-GB"/>
              </w:rPr>
              <w:t xml:space="preserve">, 12-14, 07820, Sant Antoni de </w:t>
            </w:r>
            <w:proofErr w:type="spellStart"/>
            <w:r w:rsidRPr="00913740">
              <w:rPr>
                <w:lang w:val="en-GB"/>
              </w:rPr>
              <w:t>Portmany</w:t>
            </w:r>
            <w:proofErr w:type="spellEnd"/>
            <w:r w:rsidRPr="00913740">
              <w:rPr>
                <w:lang w:val="en-GB"/>
              </w:rPr>
              <w:t>, Baleares, ES.</w:t>
            </w:r>
          </w:p>
          <w:p w14:paraId="42DD2FF6" w14:textId="77777777" w:rsidR="00913740" w:rsidRPr="00913740" w:rsidRDefault="00913740" w:rsidP="00913740">
            <w:pPr>
              <w:rPr>
                <w:lang w:val="en-GB"/>
              </w:rPr>
            </w:pPr>
            <w:r w:rsidRPr="00913740">
              <w:rPr>
                <w:lang w:val="en-GB"/>
              </w:rPr>
              <w:t> </w:t>
            </w:r>
          </w:p>
          <w:p w14:paraId="3A85C8EF" w14:textId="77777777" w:rsidR="00913740" w:rsidRPr="00913740" w:rsidRDefault="00913740" w:rsidP="00913740">
            <w:pPr>
              <w:rPr>
                <w:lang w:val="en-GB"/>
              </w:rPr>
            </w:pPr>
            <w:r w:rsidRPr="00913740">
              <w:rPr>
                <w:lang w:val="en-GB"/>
              </w:rPr>
              <w:t>- By e-mail addressed to reservations@obeachibiza.com</w:t>
            </w:r>
          </w:p>
          <w:p w14:paraId="397A4720" w14:textId="77777777" w:rsidR="00913740" w:rsidRPr="00913740" w:rsidRDefault="00913740" w:rsidP="00913740">
            <w:pPr>
              <w:rPr>
                <w:lang w:val="en-GB"/>
              </w:rPr>
            </w:pPr>
            <w:r w:rsidRPr="00913740">
              <w:rPr>
                <w:lang w:val="en-GB"/>
              </w:rPr>
              <w:t> </w:t>
            </w:r>
          </w:p>
          <w:p w14:paraId="23076959" w14:textId="77777777" w:rsidR="00913740" w:rsidRPr="00913740" w:rsidRDefault="00913740" w:rsidP="00913740">
            <w:pPr>
              <w:rPr>
                <w:lang w:val="en-GB"/>
              </w:rPr>
            </w:pPr>
            <w:r w:rsidRPr="00913740">
              <w:rPr>
                <w:lang w:val="en-GB"/>
              </w:rPr>
              <w:t>In addition, at any time if the data subject considers that his or her data is not being treated in an appropriate manner or as required by the data subject, he or she may file a complaint with the Spanish Data Protection Agency (www.agpd.es).</w:t>
            </w:r>
          </w:p>
        </w:tc>
      </w:tr>
    </w:tbl>
    <w:p w14:paraId="72B55379" w14:textId="77777777" w:rsidR="00387D52" w:rsidRPr="00913740" w:rsidRDefault="00387D52">
      <w:pPr>
        <w:rPr>
          <w:lang w:val="en-GB"/>
        </w:rPr>
      </w:pPr>
    </w:p>
    <w:sectPr w:rsidR="00387D52" w:rsidRPr="009137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us Jakarta Sans">
    <w:altName w:val="Calibri"/>
    <w:charset w:val="00"/>
    <w:family w:val="auto"/>
    <w:pitch w:val="variable"/>
    <w:sig w:usb0="A10000FF" w:usb1="40006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F46"/>
    <w:multiLevelType w:val="multilevel"/>
    <w:tmpl w:val="FE24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475EF"/>
    <w:multiLevelType w:val="multilevel"/>
    <w:tmpl w:val="33C2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F1C52"/>
    <w:multiLevelType w:val="multilevel"/>
    <w:tmpl w:val="3B18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E93236"/>
    <w:multiLevelType w:val="multilevel"/>
    <w:tmpl w:val="EE5865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704F32"/>
    <w:multiLevelType w:val="multilevel"/>
    <w:tmpl w:val="ED7C6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BE78D8"/>
    <w:multiLevelType w:val="multilevel"/>
    <w:tmpl w:val="96E209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BD4389"/>
    <w:multiLevelType w:val="multilevel"/>
    <w:tmpl w:val="3D425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350170">
    <w:abstractNumId w:val="2"/>
  </w:num>
  <w:num w:numId="2" w16cid:durableId="643202074">
    <w:abstractNumId w:val="4"/>
  </w:num>
  <w:num w:numId="3" w16cid:durableId="1544293186">
    <w:abstractNumId w:val="5"/>
  </w:num>
  <w:num w:numId="4" w16cid:durableId="1300110908">
    <w:abstractNumId w:val="0"/>
  </w:num>
  <w:num w:numId="5" w16cid:durableId="295180789">
    <w:abstractNumId w:val="3"/>
  </w:num>
  <w:num w:numId="6" w16cid:durableId="845486819">
    <w:abstractNumId w:val="6"/>
  </w:num>
  <w:num w:numId="7" w16cid:durableId="209194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40"/>
    <w:rsid w:val="00164130"/>
    <w:rsid w:val="00216DCF"/>
    <w:rsid w:val="00266EA6"/>
    <w:rsid w:val="002C0536"/>
    <w:rsid w:val="00387D52"/>
    <w:rsid w:val="003B2A93"/>
    <w:rsid w:val="00582CB2"/>
    <w:rsid w:val="005F6917"/>
    <w:rsid w:val="008770F4"/>
    <w:rsid w:val="008C2664"/>
    <w:rsid w:val="00913740"/>
    <w:rsid w:val="00A116AB"/>
    <w:rsid w:val="00CC7AAF"/>
    <w:rsid w:val="00CD0114"/>
    <w:rsid w:val="00D971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4091"/>
  <w15:chartTrackingRefBased/>
  <w15:docId w15:val="{8F74715D-8717-466B-8CBA-2F711364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lus Jakarta Sans" w:eastAsiaTheme="minorHAnsi" w:hAnsi="Plus Jakarta Sans" w:cstheme="minorBidi"/>
        <w:kern w:val="2"/>
        <w:sz w:val="22"/>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913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13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137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37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1374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137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1374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1374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1374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3740"/>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913740"/>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913740"/>
    <w:rPr>
      <w:rFonts w:asciiTheme="minorHAnsi" w:eastAsiaTheme="majorEastAsia" w:hAnsiTheme="minorHAnsi"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913740"/>
    <w:rPr>
      <w:rFonts w:asciiTheme="minorHAnsi" w:eastAsiaTheme="majorEastAsia" w:hAnsiTheme="minorHAnsi" w:cstheme="majorBidi"/>
      <w:i/>
      <w:iCs/>
      <w:color w:val="0F4761" w:themeColor="accent1" w:themeShade="BF"/>
      <w:lang w:val="ca-ES"/>
    </w:rPr>
  </w:style>
  <w:style w:type="character" w:customStyle="1" w:styleId="Ttulo5Car">
    <w:name w:val="Título 5 Car"/>
    <w:basedOn w:val="Fuentedeprrafopredeter"/>
    <w:link w:val="Ttulo5"/>
    <w:uiPriority w:val="9"/>
    <w:semiHidden/>
    <w:rsid w:val="00913740"/>
    <w:rPr>
      <w:rFonts w:asciiTheme="minorHAnsi" w:eastAsiaTheme="majorEastAsia" w:hAnsiTheme="minorHAnsi" w:cstheme="majorBidi"/>
      <w:color w:val="0F4761" w:themeColor="accent1" w:themeShade="BF"/>
      <w:lang w:val="ca-ES"/>
    </w:rPr>
  </w:style>
  <w:style w:type="character" w:customStyle="1" w:styleId="Ttulo6Car">
    <w:name w:val="Título 6 Car"/>
    <w:basedOn w:val="Fuentedeprrafopredeter"/>
    <w:link w:val="Ttulo6"/>
    <w:uiPriority w:val="9"/>
    <w:semiHidden/>
    <w:rsid w:val="00913740"/>
    <w:rPr>
      <w:rFonts w:asciiTheme="minorHAnsi" w:eastAsiaTheme="majorEastAsia" w:hAnsiTheme="minorHAnsi" w:cstheme="majorBidi"/>
      <w:i/>
      <w:iCs/>
      <w:color w:val="595959" w:themeColor="text1" w:themeTint="A6"/>
      <w:lang w:val="ca-ES"/>
    </w:rPr>
  </w:style>
  <w:style w:type="character" w:customStyle="1" w:styleId="Ttulo7Car">
    <w:name w:val="Título 7 Car"/>
    <w:basedOn w:val="Fuentedeprrafopredeter"/>
    <w:link w:val="Ttulo7"/>
    <w:uiPriority w:val="9"/>
    <w:semiHidden/>
    <w:rsid w:val="00913740"/>
    <w:rPr>
      <w:rFonts w:asciiTheme="minorHAnsi" w:eastAsiaTheme="majorEastAsia" w:hAnsiTheme="minorHAnsi" w:cstheme="majorBidi"/>
      <w:color w:val="595959" w:themeColor="text1" w:themeTint="A6"/>
      <w:lang w:val="ca-ES"/>
    </w:rPr>
  </w:style>
  <w:style w:type="character" w:customStyle="1" w:styleId="Ttulo8Car">
    <w:name w:val="Título 8 Car"/>
    <w:basedOn w:val="Fuentedeprrafopredeter"/>
    <w:link w:val="Ttulo8"/>
    <w:uiPriority w:val="9"/>
    <w:semiHidden/>
    <w:rsid w:val="00913740"/>
    <w:rPr>
      <w:rFonts w:asciiTheme="minorHAnsi" w:eastAsiaTheme="majorEastAsia" w:hAnsiTheme="minorHAnsi" w:cstheme="majorBidi"/>
      <w:i/>
      <w:iCs/>
      <w:color w:val="272727" w:themeColor="text1" w:themeTint="D8"/>
      <w:lang w:val="ca-ES"/>
    </w:rPr>
  </w:style>
  <w:style w:type="character" w:customStyle="1" w:styleId="Ttulo9Car">
    <w:name w:val="Título 9 Car"/>
    <w:basedOn w:val="Fuentedeprrafopredeter"/>
    <w:link w:val="Ttulo9"/>
    <w:uiPriority w:val="9"/>
    <w:semiHidden/>
    <w:rsid w:val="00913740"/>
    <w:rPr>
      <w:rFonts w:asciiTheme="minorHAnsi" w:eastAsiaTheme="majorEastAsia" w:hAnsiTheme="minorHAnsi" w:cstheme="majorBidi"/>
      <w:color w:val="272727" w:themeColor="text1" w:themeTint="D8"/>
      <w:lang w:val="ca-ES"/>
    </w:rPr>
  </w:style>
  <w:style w:type="paragraph" w:styleId="Ttulo">
    <w:name w:val="Title"/>
    <w:basedOn w:val="Normal"/>
    <w:next w:val="Normal"/>
    <w:link w:val="TtuloCar"/>
    <w:uiPriority w:val="10"/>
    <w:qFormat/>
    <w:rsid w:val="00913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3740"/>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9137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3740"/>
    <w:rPr>
      <w:rFonts w:asciiTheme="minorHAnsi" w:eastAsiaTheme="majorEastAsia" w:hAnsiTheme="minorHAnsi"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913740"/>
    <w:pPr>
      <w:spacing w:before="160"/>
      <w:jc w:val="center"/>
    </w:pPr>
    <w:rPr>
      <w:i/>
      <w:iCs/>
      <w:color w:val="404040" w:themeColor="text1" w:themeTint="BF"/>
    </w:rPr>
  </w:style>
  <w:style w:type="character" w:customStyle="1" w:styleId="CitaCar">
    <w:name w:val="Cita Car"/>
    <w:basedOn w:val="Fuentedeprrafopredeter"/>
    <w:link w:val="Cita"/>
    <w:uiPriority w:val="29"/>
    <w:rsid w:val="00913740"/>
    <w:rPr>
      <w:i/>
      <w:iCs/>
      <w:color w:val="404040" w:themeColor="text1" w:themeTint="BF"/>
      <w:lang w:val="ca-ES"/>
    </w:rPr>
  </w:style>
  <w:style w:type="paragraph" w:styleId="Prrafodelista">
    <w:name w:val="List Paragraph"/>
    <w:basedOn w:val="Normal"/>
    <w:uiPriority w:val="34"/>
    <w:qFormat/>
    <w:rsid w:val="00913740"/>
    <w:pPr>
      <w:ind w:left="720"/>
      <w:contextualSpacing/>
    </w:pPr>
  </w:style>
  <w:style w:type="character" w:styleId="nfasisintenso">
    <w:name w:val="Intense Emphasis"/>
    <w:basedOn w:val="Fuentedeprrafopredeter"/>
    <w:uiPriority w:val="21"/>
    <w:qFormat/>
    <w:rsid w:val="00913740"/>
    <w:rPr>
      <w:i/>
      <w:iCs/>
      <w:color w:val="0F4761" w:themeColor="accent1" w:themeShade="BF"/>
    </w:rPr>
  </w:style>
  <w:style w:type="paragraph" w:styleId="Citadestacada">
    <w:name w:val="Intense Quote"/>
    <w:basedOn w:val="Normal"/>
    <w:next w:val="Normal"/>
    <w:link w:val="CitadestacadaCar"/>
    <w:uiPriority w:val="30"/>
    <w:qFormat/>
    <w:rsid w:val="00913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3740"/>
    <w:rPr>
      <w:i/>
      <w:iCs/>
      <w:color w:val="0F4761" w:themeColor="accent1" w:themeShade="BF"/>
      <w:lang w:val="ca-ES"/>
    </w:rPr>
  </w:style>
  <w:style w:type="character" w:styleId="Referenciaintensa">
    <w:name w:val="Intense Reference"/>
    <w:basedOn w:val="Fuentedeprrafopredeter"/>
    <w:uiPriority w:val="32"/>
    <w:qFormat/>
    <w:rsid w:val="00913740"/>
    <w:rPr>
      <w:b/>
      <w:bCs/>
      <w:smallCaps/>
      <w:color w:val="0F4761" w:themeColor="accent1" w:themeShade="BF"/>
      <w:spacing w:val="5"/>
    </w:rPr>
  </w:style>
  <w:style w:type="character" w:styleId="Hipervnculo">
    <w:name w:val="Hyperlink"/>
    <w:basedOn w:val="Fuentedeprrafopredeter"/>
    <w:uiPriority w:val="99"/>
    <w:unhideWhenUsed/>
    <w:rsid w:val="00CD0114"/>
    <w:rPr>
      <w:color w:val="467886" w:themeColor="hyperlink"/>
      <w:u w:val="single"/>
    </w:rPr>
  </w:style>
  <w:style w:type="character" w:styleId="Mencinsinresolver">
    <w:name w:val="Unresolved Mention"/>
    <w:basedOn w:val="Fuentedeprrafopredeter"/>
    <w:uiPriority w:val="99"/>
    <w:semiHidden/>
    <w:unhideWhenUsed/>
    <w:rsid w:val="00CD0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493</Words>
  <Characters>2652</Characters>
  <Application>Microsoft Office Word</Application>
  <DocSecurity>0</DocSecurity>
  <Lines>63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Allyon ETL</dc:creator>
  <cp:keywords/>
  <dc:description/>
  <cp:lastModifiedBy>Gabriel</cp:lastModifiedBy>
  <cp:revision>3</cp:revision>
  <dcterms:created xsi:type="dcterms:W3CDTF">2026-03-02T11:50:00Z</dcterms:created>
  <dcterms:modified xsi:type="dcterms:W3CDTF">2026-04-08T09:37:00Z</dcterms:modified>
</cp:coreProperties>
</file>